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A7" w:rsidRPr="002F56B8" w:rsidRDefault="00DD0CA7" w:rsidP="002F56B8">
      <w:pPr>
        <w:spacing w:after="0" w:line="240" w:lineRule="auto"/>
        <w:contextualSpacing/>
        <w:jc w:val="center"/>
        <w:rPr>
          <w:rFonts w:cstheme="minorHAnsi"/>
          <w:b/>
          <w:sz w:val="20"/>
          <w:szCs w:val="20"/>
          <w:u w:val="single"/>
        </w:rPr>
      </w:pPr>
      <w:r w:rsidRPr="002F56B8">
        <w:rPr>
          <w:rFonts w:cstheme="minorHAnsi"/>
          <w:b/>
          <w:sz w:val="20"/>
          <w:szCs w:val="20"/>
          <w:u w:val="single"/>
        </w:rPr>
        <w:t>PAYOFF REQUEST FORM</w:t>
      </w:r>
    </w:p>
    <w:p w:rsidR="008319BA" w:rsidRPr="002F56B8" w:rsidRDefault="008319BA" w:rsidP="002F56B8">
      <w:pPr>
        <w:spacing w:after="0" w:line="240" w:lineRule="auto"/>
        <w:contextualSpacing/>
        <w:rPr>
          <w:rFonts w:cstheme="minorHAnsi"/>
          <w:sz w:val="20"/>
          <w:szCs w:val="20"/>
        </w:rPr>
      </w:pPr>
    </w:p>
    <w:p w:rsidR="008319BA" w:rsidRPr="000A664D" w:rsidRDefault="004B7A43" w:rsidP="000A664D">
      <w:pPr>
        <w:spacing w:after="120" w:line="240" w:lineRule="auto"/>
        <w:contextualSpacing/>
        <w:rPr>
          <w:rFonts w:cstheme="minorHAnsi"/>
          <w:sz w:val="20"/>
          <w:szCs w:val="20"/>
          <w:u w:val="single"/>
        </w:rPr>
      </w:pPr>
      <w:r w:rsidRPr="002F56B8">
        <w:rPr>
          <w:rFonts w:cstheme="minorHAnsi"/>
          <w:sz w:val="20"/>
          <w:szCs w:val="20"/>
        </w:rPr>
        <w:t>Case Number:</w:t>
      </w:r>
      <w:r w:rsidRPr="002F56B8">
        <w:rPr>
          <w:rFonts w:cstheme="minorHAnsi"/>
          <w:sz w:val="20"/>
          <w:szCs w:val="20"/>
        </w:rPr>
        <w:tab/>
        <w:t xml:space="preserve"> </w:t>
      </w:r>
      <w:r w:rsidRPr="002F56B8">
        <w:rPr>
          <w:rFonts w:cstheme="minorHAnsi"/>
          <w:sz w:val="20"/>
          <w:szCs w:val="20"/>
        </w:rPr>
        <w:tab/>
      </w:r>
      <w:r w:rsidR="008319BA" w:rsidRPr="002F56B8">
        <w:rPr>
          <w:rFonts w:cstheme="minorHAnsi"/>
          <w:sz w:val="20"/>
          <w:szCs w:val="20"/>
        </w:rPr>
        <w:tab/>
      </w:r>
      <w:r w:rsidR="008319BA" w:rsidRPr="002F56B8">
        <w:rPr>
          <w:rFonts w:cstheme="minorHAnsi"/>
          <w:sz w:val="20"/>
          <w:szCs w:val="20"/>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008319BA" w:rsidRPr="002F56B8">
        <w:rPr>
          <w:rFonts w:cstheme="minorHAnsi"/>
          <w:sz w:val="20"/>
          <w:szCs w:val="20"/>
          <w:u w:val="single"/>
        </w:rPr>
        <w:tab/>
      </w:r>
      <w:r w:rsidR="008319BA" w:rsidRPr="002F56B8">
        <w:rPr>
          <w:rFonts w:cstheme="minorHAnsi"/>
          <w:sz w:val="20"/>
          <w:szCs w:val="20"/>
          <w:u w:val="single"/>
        </w:rPr>
        <w:tab/>
      </w:r>
    </w:p>
    <w:p w:rsidR="008319BA" w:rsidRPr="002F56B8" w:rsidRDefault="004B7A43" w:rsidP="000A664D">
      <w:pPr>
        <w:spacing w:after="120" w:line="240" w:lineRule="auto"/>
        <w:contextualSpacing/>
        <w:rPr>
          <w:rFonts w:cstheme="minorHAnsi"/>
          <w:sz w:val="20"/>
          <w:szCs w:val="20"/>
          <w:u w:val="single"/>
        </w:rPr>
      </w:pPr>
      <w:r w:rsidRPr="002F56B8">
        <w:rPr>
          <w:rFonts w:cstheme="minorHAnsi"/>
          <w:sz w:val="20"/>
          <w:szCs w:val="20"/>
        </w:rPr>
        <w:t xml:space="preserve">Debtor’s Last Name: </w:t>
      </w:r>
      <w:r w:rsidRPr="002F56B8">
        <w:rPr>
          <w:rFonts w:cstheme="minorHAnsi"/>
          <w:sz w:val="20"/>
          <w:szCs w:val="20"/>
        </w:rPr>
        <w:tab/>
      </w:r>
      <w:r w:rsidR="008319BA" w:rsidRPr="002F56B8">
        <w:rPr>
          <w:rFonts w:cstheme="minorHAnsi"/>
          <w:sz w:val="20"/>
          <w:szCs w:val="20"/>
        </w:rPr>
        <w:tab/>
      </w:r>
      <w:r w:rsidR="008319BA" w:rsidRPr="002F56B8">
        <w:rPr>
          <w:rFonts w:cstheme="minorHAnsi"/>
          <w:sz w:val="20"/>
          <w:szCs w:val="20"/>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008319BA" w:rsidRPr="002F56B8">
        <w:rPr>
          <w:rFonts w:cstheme="minorHAnsi"/>
          <w:sz w:val="20"/>
          <w:szCs w:val="20"/>
          <w:u w:val="single"/>
        </w:rPr>
        <w:tab/>
      </w:r>
      <w:r w:rsidR="008319BA" w:rsidRPr="002F56B8">
        <w:rPr>
          <w:rFonts w:cstheme="minorHAnsi"/>
          <w:sz w:val="20"/>
          <w:szCs w:val="20"/>
          <w:u w:val="single"/>
        </w:rPr>
        <w:tab/>
      </w:r>
    </w:p>
    <w:p w:rsidR="000A664D" w:rsidRPr="002F56B8" w:rsidRDefault="008319BA" w:rsidP="000A664D">
      <w:pPr>
        <w:spacing w:after="120" w:line="240" w:lineRule="auto"/>
        <w:contextualSpacing/>
        <w:rPr>
          <w:rFonts w:cstheme="minorHAnsi"/>
          <w:sz w:val="20"/>
          <w:szCs w:val="20"/>
          <w:u w:val="single"/>
        </w:rPr>
      </w:pPr>
      <w:r w:rsidRPr="002F56B8">
        <w:rPr>
          <w:rFonts w:cstheme="minorHAnsi"/>
          <w:sz w:val="20"/>
          <w:szCs w:val="20"/>
        </w:rPr>
        <w:t>Debtor’s Counsel/Law Firm:</w:t>
      </w:r>
      <w:r w:rsidRPr="002F56B8">
        <w:rPr>
          <w:rFonts w:cstheme="minorHAnsi"/>
          <w:sz w:val="20"/>
          <w:szCs w:val="20"/>
        </w:rPr>
        <w:tab/>
      </w:r>
      <w:r w:rsidRPr="002F56B8">
        <w:rPr>
          <w:rFonts w:cstheme="minorHAnsi"/>
          <w:sz w:val="20"/>
          <w:szCs w:val="20"/>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p>
    <w:p w:rsidR="008319BA" w:rsidRPr="002F56B8" w:rsidRDefault="008319BA" w:rsidP="000A664D">
      <w:pPr>
        <w:spacing w:after="120" w:line="240" w:lineRule="auto"/>
        <w:contextualSpacing/>
        <w:rPr>
          <w:rFonts w:cstheme="minorHAnsi"/>
          <w:sz w:val="20"/>
          <w:szCs w:val="20"/>
          <w:u w:val="single"/>
        </w:rPr>
      </w:pPr>
      <w:r w:rsidRPr="002F56B8">
        <w:rPr>
          <w:rFonts w:cstheme="minorHAnsi"/>
          <w:sz w:val="20"/>
          <w:szCs w:val="20"/>
        </w:rPr>
        <w:t xml:space="preserve">Applicable Commitment Period: </w:t>
      </w:r>
      <w:r w:rsidRPr="002F56B8">
        <w:rPr>
          <w:rFonts w:cstheme="minorHAnsi"/>
          <w:sz w:val="20"/>
          <w:szCs w:val="20"/>
        </w:rPr>
        <w:tab/>
      </w:r>
      <w:r w:rsidR="002F56B8">
        <w:rPr>
          <w:rFonts w:cstheme="minorHAnsi"/>
          <w:sz w:val="20"/>
          <w:szCs w:val="20"/>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p>
    <w:p w:rsidR="008319BA" w:rsidRPr="002F56B8" w:rsidRDefault="008319BA" w:rsidP="002F56B8">
      <w:pPr>
        <w:spacing w:after="0" w:line="240" w:lineRule="auto"/>
        <w:contextualSpacing/>
        <w:jc w:val="both"/>
        <w:rPr>
          <w:rFonts w:cstheme="minorHAnsi"/>
          <w:sz w:val="20"/>
          <w:szCs w:val="20"/>
        </w:rPr>
      </w:pPr>
    </w:p>
    <w:p w:rsidR="008E11F7" w:rsidRPr="002F56B8" w:rsidRDefault="004B7A43" w:rsidP="002F56B8">
      <w:pPr>
        <w:spacing w:after="0" w:line="240" w:lineRule="auto"/>
        <w:contextualSpacing/>
        <w:jc w:val="both"/>
        <w:rPr>
          <w:rFonts w:cstheme="minorHAnsi"/>
          <w:sz w:val="20"/>
          <w:szCs w:val="20"/>
        </w:rPr>
      </w:pPr>
      <w:r w:rsidRPr="002F56B8">
        <w:rPr>
          <w:rFonts w:cstheme="minorHAnsi"/>
          <w:sz w:val="20"/>
          <w:szCs w:val="20"/>
        </w:rPr>
        <w:tab/>
        <w:t>Prior</w:t>
      </w:r>
      <w:r w:rsidR="006A297F" w:rsidRPr="002F56B8">
        <w:rPr>
          <w:rFonts w:cstheme="minorHAnsi"/>
          <w:sz w:val="20"/>
          <w:szCs w:val="20"/>
        </w:rPr>
        <w:t xml:space="preserve"> to submitting this form, </w:t>
      </w:r>
      <w:r w:rsidRPr="002F56B8">
        <w:rPr>
          <w:rFonts w:cstheme="minorHAnsi"/>
          <w:sz w:val="20"/>
          <w:szCs w:val="20"/>
        </w:rPr>
        <w:t>determine whether the Debtor is still in the Applicable Commitment P</w:t>
      </w:r>
      <w:r w:rsidR="006A297F" w:rsidRPr="002F56B8">
        <w:rPr>
          <w:rFonts w:cstheme="minorHAnsi"/>
          <w:sz w:val="20"/>
          <w:szCs w:val="20"/>
        </w:rPr>
        <w:t>eriod and</w:t>
      </w:r>
      <w:r w:rsidRPr="002F56B8">
        <w:rPr>
          <w:rFonts w:cstheme="minorHAnsi"/>
          <w:sz w:val="20"/>
          <w:szCs w:val="20"/>
        </w:rPr>
        <w:t xml:space="preserve"> visit the Trustee’s website at </w:t>
      </w:r>
      <w:hyperlink r:id="rId7" w:history="1">
        <w:r w:rsidRPr="002F56B8">
          <w:rPr>
            <w:rStyle w:val="Hyperlink"/>
            <w:rFonts w:cstheme="minorHAnsi"/>
            <w:sz w:val="20"/>
            <w:szCs w:val="20"/>
          </w:rPr>
          <w:t>http://www.13network.com/trustees/fww/fwwhome.asp</w:t>
        </w:r>
      </w:hyperlink>
      <w:r w:rsidRPr="002F56B8">
        <w:rPr>
          <w:rFonts w:cstheme="minorHAnsi"/>
          <w:sz w:val="20"/>
          <w:szCs w:val="20"/>
        </w:rPr>
        <w:t xml:space="preserve">.  Click “Chapter 13 Inquiry,” login, </w:t>
      </w:r>
      <w:r w:rsidR="006A297F" w:rsidRPr="002F56B8">
        <w:rPr>
          <w:rFonts w:cstheme="minorHAnsi"/>
          <w:sz w:val="20"/>
          <w:szCs w:val="20"/>
        </w:rPr>
        <w:t xml:space="preserve">and </w:t>
      </w:r>
      <w:r w:rsidR="008319BA" w:rsidRPr="002F56B8">
        <w:rPr>
          <w:rFonts w:cstheme="minorHAnsi"/>
          <w:sz w:val="20"/>
          <w:szCs w:val="20"/>
        </w:rPr>
        <w:t>navigate to the Debtor’</w:t>
      </w:r>
      <w:r w:rsidR="006A297F" w:rsidRPr="002F56B8">
        <w:rPr>
          <w:rFonts w:cstheme="minorHAnsi"/>
          <w:sz w:val="20"/>
          <w:szCs w:val="20"/>
        </w:rPr>
        <w:t xml:space="preserve">s case. </w:t>
      </w:r>
      <w:r w:rsidR="008E11F7" w:rsidRPr="000A664D">
        <w:rPr>
          <w:rFonts w:cstheme="minorHAnsi"/>
          <w:b/>
          <w:sz w:val="20"/>
          <w:szCs w:val="20"/>
        </w:rPr>
        <w:t>CONDUIT WARNING:</w:t>
      </w:r>
      <w:r w:rsidR="008E11F7">
        <w:rPr>
          <w:rFonts w:cstheme="minorHAnsi"/>
          <w:sz w:val="20"/>
          <w:szCs w:val="20"/>
        </w:rPr>
        <w:t xml:space="preserve">  Conduit plans provide for ongoing monthly mortgage payments to the Mortgage Lender.  In order to pay off a conduit plan early, a modification reducing the plan term and eliminating the ongoing conduit payments will be required. </w:t>
      </w:r>
    </w:p>
    <w:p w:rsidR="006A297F" w:rsidRPr="002F56B8" w:rsidRDefault="006A297F" w:rsidP="002F56B8">
      <w:pPr>
        <w:spacing w:after="0" w:line="240" w:lineRule="auto"/>
        <w:contextualSpacing/>
        <w:jc w:val="both"/>
        <w:rPr>
          <w:rFonts w:cstheme="minorHAnsi"/>
          <w:sz w:val="20"/>
          <w:szCs w:val="20"/>
        </w:rPr>
      </w:pPr>
    </w:p>
    <w:p w:rsidR="006A297F" w:rsidRPr="002F56B8" w:rsidRDefault="006A297F" w:rsidP="002F56B8">
      <w:pPr>
        <w:spacing w:after="0" w:line="240" w:lineRule="auto"/>
        <w:contextualSpacing/>
        <w:jc w:val="center"/>
        <w:rPr>
          <w:rFonts w:cstheme="minorHAnsi"/>
          <w:b/>
          <w:sz w:val="20"/>
          <w:szCs w:val="20"/>
        </w:rPr>
      </w:pPr>
      <w:r w:rsidRPr="002F56B8">
        <w:rPr>
          <w:rFonts w:cstheme="minorHAnsi"/>
          <w:b/>
          <w:sz w:val="20"/>
          <w:szCs w:val="20"/>
        </w:rPr>
        <w:t xml:space="preserve">DEBTOR </w:t>
      </w:r>
      <w:r w:rsidR="00407D98">
        <w:rPr>
          <w:rFonts w:cstheme="minorHAnsi"/>
          <w:b/>
          <w:sz w:val="20"/>
          <w:szCs w:val="20"/>
        </w:rPr>
        <w:t>HAS NOT COMPLETED</w:t>
      </w:r>
      <w:bookmarkStart w:id="0" w:name="_GoBack"/>
      <w:bookmarkEnd w:id="0"/>
      <w:r w:rsidRPr="002F56B8">
        <w:rPr>
          <w:rFonts w:cstheme="minorHAnsi"/>
          <w:b/>
          <w:sz w:val="20"/>
          <w:szCs w:val="20"/>
        </w:rPr>
        <w:t xml:space="preserve"> APPLICABLE COMMITMENT PERIOD</w:t>
      </w:r>
    </w:p>
    <w:p w:rsidR="006A297F" w:rsidRPr="002F56B8" w:rsidRDefault="006A297F" w:rsidP="002F56B8">
      <w:pPr>
        <w:spacing w:after="0" w:line="240" w:lineRule="auto"/>
        <w:contextualSpacing/>
        <w:jc w:val="center"/>
        <w:rPr>
          <w:rFonts w:cstheme="minorHAnsi"/>
          <w:b/>
          <w:sz w:val="20"/>
          <w:szCs w:val="20"/>
        </w:rPr>
      </w:pPr>
    </w:p>
    <w:p w:rsidR="006A297F" w:rsidRPr="002F56B8" w:rsidRDefault="006A297F" w:rsidP="000A664D">
      <w:pPr>
        <w:spacing w:after="0" w:line="240" w:lineRule="auto"/>
        <w:ind w:firstLine="720"/>
        <w:contextualSpacing/>
        <w:jc w:val="both"/>
        <w:rPr>
          <w:rFonts w:cstheme="minorHAnsi"/>
          <w:b/>
          <w:sz w:val="20"/>
          <w:szCs w:val="20"/>
        </w:rPr>
      </w:pPr>
      <w:r w:rsidRPr="002F56B8">
        <w:rPr>
          <w:rFonts w:cstheme="minorHAnsi"/>
          <w:sz w:val="20"/>
          <w:szCs w:val="20"/>
        </w:rPr>
        <w:t>Click on the “Payees” tab at the top of the page.  Calculate the Total Estimated Payoff by completing the table below.</w:t>
      </w:r>
    </w:p>
    <w:p w:rsidR="00C96A5C" w:rsidRDefault="00C96A5C" w:rsidP="002F56B8">
      <w:pPr>
        <w:spacing w:after="0" w:line="240" w:lineRule="auto"/>
        <w:contextualSpacing/>
        <w:rPr>
          <w:rFonts w:cstheme="minorHAnsi"/>
          <w:sz w:val="20"/>
          <w:szCs w:val="20"/>
          <w:u w:val="single"/>
        </w:rPr>
      </w:pPr>
    </w:p>
    <w:tbl>
      <w:tblPr>
        <w:tblStyle w:val="TableGrid"/>
        <w:tblW w:w="0" w:type="auto"/>
        <w:tblLook w:val="04A0" w:firstRow="1" w:lastRow="0" w:firstColumn="1" w:lastColumn="0" w:noHBand="0" w:noVBand="1"/>
      </w:tblPr>
      <w:tblGrid>
        <w:gridCol w:w="6025"/>
        <w:gridCol w:w="2070"/>
        <w:gridCol w:w="1975"/>
      </w:tblGrid>
      <w:tr w:rsidR="000A664D" w:rsidTr="000A664D">
        <w:tc>
          <w:tcPr>
            <w:tcW w:w="6025" w:type="dxa"/>
          </w:tcPr>
          <w:p w:rsidR="000A664D" w:rsidRDefault="000A664D" w:rsidP="002F56B8">
            <w:pPr>
              <w:spacing w:after="0" w:line="240" w:lineRule="auto"/>
              <w:contextualSpacing/>
              <w:rPr>
                <w:rFonts w:cstheme="minorHAnsi"/>
                <w:sz w:val="20"/>
                <w:szCs w:val="20"/>
                <w:u w:val="single"/>
              </w:rPr>
            </w:pPr>
          </w:p>
        </w:tc>
        <w:tc>
          <w:tcPr>
            <w:tcW w:w="2070" w:type="dxa"/>
          </w:tcPr>
          <w:p w:rsidR="000A664D" w:rsidRPr="000A664D" w:rsidRDefault="000A664D" w:rsidP="002F56B8">
            <w:pPr>
              <w:spacing w:after="0" w:line="240" w:lineRule="auto"/>
              <w:contextualSpacing/>
              <w:rPr>
                <w:rFonts w:cstheme="minorHAnsi"/>
                <w:b/>
                <w:sz w:val="20"/>
                <w:szCs w:val="20"/>
              </w:rPr>
            </w:pPr>
            <w:r w:rsidRPr="000A664D">
              <w:rPr>
                <w:rFonts w:cstheme="minorHAnsi"/>
                <w:b/>
                <w:sz w:val="20"/>
                <w:szCs w:val="20"/>
              </w:rPr>
              <w:t>Debtor</w:t>
            </w:r>
          </w:p>
        </w:tc>
        <w:tc>
          <w:tcPr>
            <w:tcW w:w="1975" w:type="dxa"/>
          </w:tcPr>
          <w:p w:rsidR="000A664D" w:rsidRPr="000A664D" w:rsidRDefault="000A664D" w:rsidP="002F56B8">
            <w:pPr>
              <w:spacing w:after="0" w:line="240" w:lineRule="auto"/>
              <w:contextualSpacing/>
              <w:rPr>
                <w:rFonts w:cstheme="minorHAnsi"/>
                <w:b/>
                <w:sz w:val="20"/>
                <w:szCs w:val="20"/>
              </w:rPr>
            </w:pPr>
            <w:r w:rsidRPr="000A664D">
              <w:rPr>
                <w:rFonts w:cstheme="minorHAnsi"/>
                <w:b/>
                <w:sz w:val="20"/>
                <w:szCs w:val="20"/>
              </w:rPr>
              <w:t>For Trustee Use Only</w:t>
            </w:r>
          </w:p>
        </w:tc>
      </w:tr>
      <w:tr w:rsidR="000A664D" w:rsidTr="000A664D">
        <w:tc>
          <w:tcPr>
            <w:tcW w:w="6025" w:type="dxa"/>
          </w:tcPr>
          <w:p w:rsidR="000A664D" w:rsidRPr="000A664D" w:rsidRDefault="000A664D" w:rsidP="002F56B8">
            <w:pPr>
              <w:spacing w:after="0" w:line="240" w:lineRule="auto"/>
              <w:contextualSpacing/>
              <w:rPr>
                <w:rFonts w:cstheme="minorHAnsi"/>
                <w:sz w:val="18"/>
                <w:szCs w:val="18"/>
              </w:rPr>
            </w:pPr>
            <w:r>
              <w:rPr>
                <w:rFonts w:cstheme="minorHAnsi"/>
                <w:sz w:val="18"/>
                <w:szCs w:val="18"/>
              </w:rPr>
              <w:t>Remaining Principal Owed on All Secured Claims Provided for in the Plan</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sz w:val="18"/>
                <w:szCs w:val="18"/>
              </w:rPr>
            </w:pPr>
            <w:r>
              <w:rPr>
                <w:rFonts w:cstheme="minorHAnsi"/>
                <w:sz w:val="18"/>
                <w:szCs w:val="18"/>
              </w:rPr>
              <w:t>Remaining Principal Owed on All Priority Claims</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sz w:val="18"/>
                <w:szCs w:val="18"/>
              </w:rPr>
            </w:pPr>
            <w:r>
              <w:rPr>
                <w:rFonts w:cstheme="minorHAnsi"/>
                <w:sz w:val="18"/>
                <w:szCs w:val="18"/>
              </w:rPr>
              <w:t>Remaining Balance Owed on All Unsecured Claims</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sz w:val="18"/>
                <w:szCs w:val="18"/>
              </w:rPr>
            </w:pPr>
            <w:r>
              <w:rPr>
                <w:rFonts w:cstheme="minorHAnsi"/>
                <w:sz w:val="18"/>
                <w:szCs w:val="18"/>
              </w:rPr>
              <w:t>Remaining Balance Owed on Attorney’s Fees under Attorney Listing</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b/>
                <w:sz w:val="18"/>
                <w:szCs w:val="18"/>
              </w:rPr>
            </w:pPr>
            <w:r w:rsidRPr="000A664D">
              <w:rPr>
                <w:rFonts w:cstheme="minorHAnsi"/>
                <w:b/>
                <w:sz w:val="18"/>
                <w:szCs w:val="18"/>
              </w:rPr>
              <w:t>Subtotal</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sz w:val="18"/>
                <w:szCs w:val="18"/>
              </w:rPr>
            </w:pPr>
            <w:r>
              <w:rPr>
                <w:rFonts w:cstheme="minorHAnsi"/>
                <w:sz w:val="18"/>
                <w:szCs w:val="18"/>
              </w:rPr>
              <w:t>Noticing and Trustee Fees (Subtotal x 10%)</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r w:rsidR="000A664D" w:rsidTr="000A664D">
        <w:tc>
          <w:tcPr>
            <w:tcW w:w="6025" w:type="dxa"/>
          </w:tcPr>
          <w:p w:rsidR="000A664D" w:rsidRPr="000A664D" w:rsidRDefault="000A664D" w:rsidP="002F56B8">
            <w:pPr>
              <w:spacing w:after="0" w:line="240" w:lineRule="auto"/>
              <w:contextualSpacing/>
              <w:rPr>
                <w:rFonts w:cstheme="minorHAnsi"/>
                <w:b/>
                <w:sz w:val="18"/>
                <w:szCs w:val="18"/>
              </w:rPr>
            </w:pPr>
            <w:r w:rsidRPr="000A664D">
              <w:rPr>
                <w:rFonts w:cstheme="minorHAnsi"/>
                <w:b/>
                <w:sz w:val="18"/>
                <w:szCs w:val="18"/>
              </w:rPr>
              <w:t>Total Estimate</w:t>
            </w:r>
            <w:r w:rsidR="001E2935">
              <w:rPr>
                <w:rFonts w:cstheme="minorHAnsi"/>
                <w:b/>
                <w:sz w:val="18"/>
                <w:szCs w:val="18"/>
              </w:rPr>
              <w:t>d</w:t>
            </w:r>
            <w:r w:rsidRPr="000A664D">
              <w:rPr>
                <w:rFonts w:cstheme="minorHAnsi"/>
                <w:b/>
                <w:sz w:val="18"/>
                <w:szCs w:val="18"/>
              </w:rPr>
              <w:t xml:space="preserve"> Payoff*</w:t>
            </w:r>
          </w:p>
        </w:tc>
        <w:tc>
          <w:tcPr>
            <w:tcW w:w="2070" w:type="dxa"/>
          </w:tcPr>
          <w:p w:rsidR="000A664D" w:rsidRPr="000A664D" w:rsidRDefault="000A664D" w:rsidP="002F56B8">
            <w:pPr>
              <w:spacing w:after="0" w:line="240" w:lineRule="auto"/>
              <w:contextualSpacing/>
              <w:rPr>
                <w:rFonts w:cstheme="minorHAnsi"/>
                <w:sz w:val="18"/>
                <w:szCs w:val="18"/>
              </w:rPr>
            </w:pPr>
          </w:p>
        </w:tc>
        <w:tc>
          <w:tcPr>
            <w:tcW w:w="1975" w:type="dxa"/>
          </w:tcPr>
          <w:p w:rsidR="000A664D" w:rsidRPr="000A664D" w:rsidRDefault="000A664D" w:rsidP="002F56B8">
            <w:pPr>
              <w:spacing w:after="0" w:line="240" w:lineRule="auto"/>
              <w:contextualSpacing/>
              <w:rPr>
                <w:rFonts w:cstheme="minorHAnsi"/>
                <w:sz w:val="18"/>
                <w:szCs w:val="18"/>
              </w:rPr>
            </w:pPr>
          </w:p>
        </w:tc>
      </w:tr>
    </w:tbl>
    <w:p w:rsidR="000A664D" w:rsidRDefault="000A664D" w:rsidP="002F56B8">
      <w:pPr>
        <w:spacing w:after="0" w:line="240" w:lineRule="auto"/>
        <w:contextualSpacing/>
        <w:rPr>
          <w:rFonts w:cstheme="minorHAnsi"/>
          <w:sz w:val="20"/>
          <w:szCs w:val="20"/>
          <w:u w:val="single"/>
        </w:rPr>
      </w:pPr>
    </w:p>
    <w:p w:rsidR="006A297F" w:rsidRPr="002F56B8" w:rsidRDefault="006A297F" w:rsidP="002F56B8">
      <w:pPr>
        <w:spacing w:after="0" w:line="240" w:lineRule="auto"/>
        <w:contextualSpacing/>
        <w:jc w:val="center"/>
        <w:rPr>
          <w:rFonts w:cstheme="minorHAnsi"/>
          <w:b/>
          <w:sz w:val="20"/>
          <w:szCs w:val="20"/>
        </w:rPr>
      </w:pPr>
      <w:r w:rsidRPr="002F56B8">
        <w:rPr>
          <w:rFonts w:cstheme="minorHAnsi"/>
          <w:b/>
          <w:sz w:val="20"/>
          <w:szCs w:val="20"/>
        </w:rPr>
        <w:t>DEBTOR HAS</w:t>
      </w:r>
      <w:r w:rsidR="00407D98">
        <w:rPr>
          <w:rFonts w:cstheme="minorHAnsi"/>
          <w:b/>
          <w:sz w:val="20"/>
          <w:szCs w:val="20"/>
        </w:rPr>
        <w:t xml:space="preserve"> </w:t>
      </w:r>
      <w:r w:rsidRPr="002F56B8">
        <w:rPr>
          <w:rFonts w:cstheme="minorHAnsi"/>
          <w:b/>
          <w:sz w:val="20"/>
          <w:szCs w:val="20"/>
        </w:rPr>
        <w:t>COMPLETED APPLICABLE COMMITMENT PERIOD</w:t>
      </w:r>
    </w:p>
    <w:p w:rsidR="006A297F" w:rsidRPr="002F56B8" w:rsidRDefault="006A297F" w:rsidP="002F56B8">
      <w:pPr>
        <w:spacing w:after="0" w:line="240" w:lineRule="auto"/>
        <w:contextualSpacing/>
        <w:jc w:val="center"/>
        <w:rPr>
          <w:rFonts w:cstheme="minorHAnsi"/>
          <w:b/>
          <w:sz w:val="20"/>
          <w:szCs w:val="20"/>
        </w:rPr>
      </w:pPr>
    </w:p>
    <w:p w:rsidR="006A297F" w:rsidRPr="002F56B8" w:rsidRDefault="006A297F" w:rsidP="000A664D">
      <w:pPr>
        <w:spacing w:after="0" w:line="240" w:lineRule="auto"/>
        <w:ind w:firstLine="720"/>
        <w:contextualSpacing/>
        <w:jc w:val="both"/>
        <w:rPr>
          <w:rFonts w:cstheme="minorHAnsi"/>
          <w:b/>
          <w:sz w:val="20"/>
          <w:szCs w:val="20"/>
        </w:rPr>
      </w:pPr>
      <w:r w:rsidRPr="002F56B8">
        <w:rPr>
          <w:rFonts w:cstheme="minorHAnsi"/>
          <w:sz w:val="20"/>
          <w:szCs w:val="20"/>
        </w:rPr>
        <w:t>Click on the “Case” tab at the top of the page to find the Base Balance.  Click on the “Financials” tab at the top of the page to determine whether the Debtor has received a refund because the Base Balance</w:t>
      </w:r>
      <w:r w:rsidR="002F56B8" w:rsidRPr="002F56B8">
        <w:rPr>
          <w:rFonts w:cstheme="minorHAnsi"/>
          <w:sz w:val="20"/>
          <w:szCs w:val="20"/>
        </w:rPr>
        <w:t xml:space="preserve"> on the “Case” tab</w:t>
      </w:r>
      <w:r w:rsidRPr="002F56B8">
        <w:rPr>
          <w:rFonts w:cstheme="minorHAnsi"/>
          <w:sz w:val="20"/>
          <w:szCs w:val="20"/>
        </w:rPr>
        <w:t xml:space="preserve"> is not reduced by refunds to the Debtor.</w:t>
      </w:r>
      <w:r w:rsidR="002F56B8" w:rsidRPr="002F56B8">
        <w:rPr>
          <w:rFonts w:cstheme="minorHAnsi"/>
          <w:sz w:val="20"/>
          <w:szCs w:val="20"/>
        </w:rPr>
        <w:t xml:space="preserve"> Calculate the Total Estimated Payoff by completing the table below.</w:t>
      </w:r>
    </w:p>
    <w:p w:rsidR="006A297F" w:rsidRPr="002F56B8" w:rsidRDefault="006A297F" w:rsidP="002F56B8">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6025"/>
        <w:gridCol w:w="2070"/>
        <w:gridCol w:w="1975"/>
      </w:tblGrid>
      <w:tr w:rsidR="006A297F" w:rsidRPr="002F56B8" w:rsidTr="002F56B8">
        <w:tc>
          <w:tcPr>
            <w:tcW w:w="6025" w:type="dxa"/>
          </w:tcPr>
          <w:p w:rsidR="006A297F" w:rsidRPr="002F56B8" w:rsidRDefault="006A297F" w:rsidP="002F56B8">
            <w:pPr>
              <w:spacing w:after="0" w:line="240" w:lineRule="auto"/>
              <w:contextualSpacing/>
              <w:rPr>
                <w:rFonts w:cstheme="minorHAnsi"/>
                <w:b/>
                <w:sz w:val="20"/>
                <w:szCs w:val="20"/>
              </w:rPr>
            </w:pPr>
          </w:p>
        </w:tc>
        <w:tc>
          <w:tcPr>
            <w:tcW w:w="2070" w:type="dxa"/>
          </w:tcPr>
          <w:p w:rsidR="006A297F" w:rsidRPr="002F56B8" w:rsidRDefault="006A297F" w:rsidP="002F56B8">
            <w:pPr>
              <w:spacing w:after="0" w:line="240" w:lineRule="auto"/>
              <w:contextualSpacing/>
              <w:rPr>
                <w:rFonts w:cstheme="minorHAnsi"/>
                <w:b/>
                <w:sz w:val="20"/>
                <w:szCs w:val="20"/>
              </w:rPr>
            </w:pPr>
            <w:r w:rsidRPr="002F56B8">
              <w:rPr>
                <w:rFonts w:cstheme="minorHAnsi"/>
                <w:b/>
                <w:sz w:val="20"/>
                <w:szCs w:val="20"/>
              </w:rPr>
              <w:t>Debtor</w:t>
            </w:r>
          </w:p>
        </w:tc>
        <w:tc>
          <w:tcPr>
            <w:tcW w:w="1975" w:type="dxa"/>
          </w:tcPr>
          <w:p w:rsidR="006A297F" w:rsidRPr="002F56B8" w:rsidRDefault="006A297F" w:rsidP="002F56B8">
            <w:pPr>
              <w:spacing w:after="0" w:line="240" w:lineRule="auto"/>
              <w:contextualSpacing/>
              <w:rPr>
                <w:rFonts w:cstheme="minorHAnsi"/>
                <w:b/>
                <w:sz w:val="20"/>
                <w:szCs w:val="20"/>
              </w:rPr>
            </w:pPr>
            <w:r w:rsidRPr="002F56B8">
              <w:rPr>
                <w:rFonts w:cstheme="minorHAnsi"/>
                <w:b/>
                <w:sz w:val="20"/>
                <w:szCs w:val="20"/>
              </w:rPr>
              <w:t>For Trustee Use Only</w:t>
            </w:r>
          </w:p>
        </w:tc>
      </w:tr>
      <w:tr w:rsidR="006A297F" w:rsidRPr="002F56B8" w:rsidTr="002F56B8">
        <w:tc>
          <w:tcPr>
            <w:tcW w:w="6025" w:type="dxa"/>
          </w:tcPr>
          <w:p w:rsidR="002F56B8" w:rsidRPr="002F56B8" w:rsidRDefault="002F56B8" w:rsidP="002F56B8">
            <w:pPr>
              <w:spacing w:after="0" w:line="240" w:lineRule="auto"/>
              <w:contextualSpacing/>
              <w:rPr>
                <w:rFonts w:cstheme="minorHAnsi"/>
                <w:sz w:val="18"/>
                <w:szCs w:val="18"/>
              </w:rPr>
            </w:pPr>
            <w:r w:rsidRPr="002F56B8">
              <w:rPr>
                <w:rFonts w:cstheme="minorHAnsi"/>
                <w:sz w:val="18"/>
                <w:szCs w:val="18"/>
              </w:rPr>
              <w:t>Base Balance</w:t>
            </w:r>
          </w:p>
        </w:tc>
        <w:tc>
          <w:tcPr>
            <w:tcW w:w="2070" w:type="dxa"/>
          </w:tcPr>
          <w:p w:rsidR="006A297F" w:rsidRPr="002F56B8" w:rsidRDefault="006A297F" w:rsidP="002F56B8">
            <w:pPr>
              <w:spacing w:after="0" w:line="240" w:lineRule="auto"/>
              <w:contextualSpacing/>
              <w:rPr>
                <w:rFonts w:cstheme="minorHAnsi"/>
                <w:b/>
                <w:sz w:val="20"/>
                <w:szCs w:val="20"/>
              </w:rPr>
            </w:pPr>
          </w:p>
        </w:tc>
        <w:tc>
          <w:tcPr>
            <w:tcW w:w="1975" w:type="dxa"/>
          </w:tcPr>
          <w:p w:rsidR="006A297F" w:rsidRPr="002F56B8" w:rsidRDefault="006A297F" w:rsidP="002F56B8">
            <w:pPr>
              <w:spacing w:after="0" w:line="240" w:lineRule="auto"/>
              <w:contextualSpacing/>
              <w:rPr>
                <w:rFonts w:cstheme="minorHAnsi"/>
                <w:b/>
                <w:sz w:val="20"/>
                <w:szCs w:val="20"/>
              </w:rPr>
            </w:pPr>
          </w:p>
        </w:tc>
      </w:tr>
      <w:tr w:rsidR="006A297F" w:rsidRPr="002F56B8" w:rsidTr="002F56B8">
        <w:tc>
          <w:tcPr>
            <w:tcW w:w="6025" w:type="dxa"/>
          </w:tcPr>
          <w:p w:rsidR="002F56B8" w:rsidRPr="002F56B8" w:rsidRDefault="002F56B8" w:rsidP="002F56B8">
            <w:pPr>
              <w:spacing w:after="0" w:line="240" w:lineRule="auto"/>
              <w:contextualSpacing/>
              <w:rPr>
                <w:rFonts w:cstheme="minorHAnsi"/>
                <w:sz w:val="18"/>
                <w:szCs w:val="18"/>
              </w:rPr>
            </w:pPr>
            <w:r w:rsidRPr="002F56B8">
              <w:rPr>
                <w:rFonts w:cstheme="minorHAnsi"/>
                <w:sz w:val="18"/>
                <w:szCs w:val="18"/>
              </w:rPr>
              <w:t>Less Debtor Refunds</w:t>
            </w:r>
          </w:p>
        </w:tc>
        <w:tc>
          <w:tcPr>
            <w:tcW w:w="2070" w:type="dxa"/>
          </w:tcPr>
          <w:p w:rsidR="006A297F" w:rsidRPr="002F56B8" w:rsidRDefault="006A297F" w:rsidP="002F56B8">
            <w:pPr>
              <w:spacing w:after="0" w:line="240" w:lineRule="auto"/>
              <w:contextualSpacing/>
              <w:rPr>
                <w:rFonts w:cstheme="minorHAnsi"/>
                <w:b/>
                <w:sz w:val="20"/>
                <w:szCs w:val="20"/>
              </w:rPr>
            </w:pPr>
          </w:p>
        </w:tc>
        <w:tc>
          <w:tcPr>
            <w:tcW w:w="1975" w:type="dxa"/>
          </w:tcPr>
          <w:p w:rsidR="006A297F" w:rsidRPr="002F56B8" w:rsidRDefault="006A297F" w:rsidP="002F56B8">
            <w:pPr>
              <w:spacing w:after="0" w:line="240" w:lineRule="auto"/>
              <w:contextualSpacing/>
              <w:rPr>
                <w:rFonts w:cstheme="minorHAnsi"/>
                <w:b/>
                <w:sz w:val="20"/>
                <w:szCs w:val="20"/>
              </w:rPr>
            </w:pPr>
          </w:p>
        </w:tc>
      </w:tr>
      <w:tr w:rsidR="006A297F" w:rsidRPr="002F56B8" w:rsidTr="002F56B8">
        <w:tc>
          <w:tcPr>
            <w:tcW w:w="6025" w:type="dxa"/>
          </w:tcPr>
          <w:p w:rsidR="002F56B8" w:rsidRPr="002F56B8" w:rsidRDefault="002F56B8" w:rsidP="002F56B8">
            <w:pPr>
              <w:spacing w:after="0" w:line="240" w:lineRule="auto"/>
              <w:contextualSpacing/>
              <w:rPr>
                <w:rFonts w:cstheme="minorHAnsi"/>
                <w:b/>
                <w:sz w:val="18"/>
                <w:szCs w:val="18"/>
              </w:rPr>
            </w:pPr>
            <w:r w:rsidRPr="002F56B8">
              <w:rPr>
                <w:rFonts w:cstheme="minorHAnsi"/>
                <w:b/>
                <w:sz w:val="18"/>
                <w:szCs w:val="18"/>
              </w:rPr>
              <w:t>Subtotal</w:t>
            </w:r>
          </w:p>
        </w:tc>
        <w:tc>
          <w:tcPr>
            <w:tcW w:w="2070" w:type="dxa"/>
          </w:tcPr>
          <w:p w:rsidR="006A297F" w:rsidRPr="002F56B8" w:rsidRDefault="006A297F" w:rsidP="002F56B8">
            <w:pPr>
              <w:spacing w:after="0" w:line="240" w:lineRule="auto"/>
              <w:contextualSpacing/>
              <w:rPr>
                <w:rFonts w:cstheme="minorHAnsi"/>
                <w:b/>
                <w:sz w:val="20"/>
                <w:szCs w:val="20"/>
              </w:rPr>
            </w:pPr>
          </w:p>
        </w:tc>
        <w:tc>
          <w:tcPr>
            <w:tcW w:w="1975" w:type="dxa"/>
          </w:tcPr>
          <w:p w:rsidR="006A297F" w:rsidRPr="002F56B8" w:rsidRDefault="006A297F" w:rsidP="002F56B8">
            <w:pPr>
              <w:spacing w:after="0" w:line="240" w:lineRule="auto"/>
              <w:contextualSpacing/>
              <w:rPr>
                <w:rFonts w:cstheme="minorHAnsi"/>
                <w:b/>
                <w:sz w:val="20"/>
                <w:szCs w:val="20"/>
              </w:rPr>
            </w:pPr>
          </w:p>
        </w:tc>
      </w:tr>
      <w:tr w:rsidR="002F56B8" w:rsidRPr="002F56B8" w:rsidTr="002F56B8">
        <w:tc>
          <w:tcPr>
            <w:tcW w:w="6025" w:type="dxa"/>
          </w:tcPr>
          <w:p w:rsidR="002F56B8" w:rsidRPr="002F56B8" w:rsidRDefault="002F56B8" w:rsidP="002F56B8">
            <w:pPr>
              <w:spacing w:after="0" w:line="240" w:lineRule="auto"/>
              <w:contextualSpacing/>
              <w:rPr>
                <w:rFonts w:cstheme="minorHAnsi"/>
                <w:sz w:val="18"/>
                <w:szCs w:val="18"/>
              </w:rPr>
            </w:pPr>
            <w:r w:rsidRPr="002F56B8">
              <w:rPr>
                <w:rFonts w:cstheme="minorHAnsi"/>
                <w:sz w:val="18"/>
                <w:szCs w:val="18"/>
              </w:rPr>
              <w:t>Noticing and Trustee Fees (Subtotal x 10%)</w:t>
            </w:r>
          </w:p>
        </w:tc>
        <w:tc>
          <w:tcPr>
            <w:tcW w:w="2070" w:type="dxa"/>
          </w:tcPr>
          <w:p w:rsidR="002F56B8" w:rsidRPr="002F56B8" w:rsidRDefault="002F56B8" w:rsidP="002F56B8">
            <w:pPr>
              <w:spacing w:after="0" w:line="240" w:lineRule="auto"/>
              <w:contextualSpacing/>
              <w:rPr>
                <w:rFonts w:cstheme="minorHAnsi"/>
                <w:b/>
                <w:sz w:val="20"/>
                <w:szCs w:val="20"/>
              </w:rPr>
            </w:pPr>
          </w:p>
        </w:tc>
        <w:tc>
          <w:tcPr>
            <w:tcW w:w="1975" w:type="dxa"/>
          </w:tcPr>
          <w:p w:rsidR="002F56B8" w:rsidRPr="002F56B8" w:rsidRDefault="002F56B8" w:rsidP="002F56B8">
            <w:pPr>
              <w:spacing w:after="0" w:line="240" w:lineRule="auto"/>
              <w:contextualSpacing/>
              <w:rPr>
                <w:rFonts w:cstheme="minorHAnsi"/>
                <w:b/>
                <w:sz w:val="20"/>
                <w:szCs w:val="20"/>
              </w:rPr>
            </w:pPr>
          </w:p>
        </w:tc>
      </w:tr>
      <w:tr w:rsidR="006A297F" w:rsidRPr="002F56B8" w:rsidTr="002F56B8">
        <w:tc>
          <w:tcPr>
            <w:tcW w:w="6025" w:type="dxa"/>
          </w:tcPr>
          <w:p w:rsidR="002F56B8" w:rsidRPr="002F56B8" w:rsidRDefault="006A297F" w:rsidP="002F56B8">
            <w:pPr>
              <w:spacing w:after="0" w:line="240" w:lineRule="auto"/>
              <w:contextualSpacing/>
              <w:rPr>
                <w:rFonts w:cstheme="minorHAnsi"/>
                <w:b/>
                <w:sz w:val="18"/>
                <w:szCs w:val="18"/>
              </w:rPr>
            </w:pPr>
            <w:r w:rsidRPr="002F56B8">
              <w:rPr>
                <w:rFonts w:cstheme="minorHAnsi"/>
                <w:b/>
                <w:sz w:val="18"/>
                <w:szCs w:val="18"/>
              </w:rPr>
              <w:t>Total Estimated Payoff*</w:t>
            </w:r>
          </w:p>
        </w:tc>
        <w:tc>
          <w:tcPr>
            <w:tcW w:w="2070" w:type="dxa"/>
          </w:tcPr>
          <w:p w:rsidR="006A297F" w:rsidRPr="002F56B8" w:rsidRDefault="006A297F" w:rsidP="002F56B8">
            <w:pPr>
              <w:spacing w:after="0" w:line="240" w:lineRule="auto"/>
              <w:contextualSpacing/>
              <w:rPr>
                <w:rFonts w:cstheme="minorHAnsi"/>
                <w:b/>
                <w:sz w:val="20"/>
                <w:szCs w:val="20"/>
              </w:rPr>
            </w:pPr>
          </w:p>
        </w:tc>
        <w:tc>
          <w:tcPr>
            <w:tcW w:w="1975" w:type="dxa"/>
          </w:tcPr>
          <w:p w:rsidR="006A297F" w:rsidRPr="002F56B8" w:rsidRDefault="006A297F" w:rsidP="002F56B8">
            <w:pPr>
              <w:spacing w:after="0" w:line="240" w:lineRule="auto"/>
              <w:contextualSpacing/>
              <w:rPr>
                <w:rFonts w:cstheme="minorHAnsi"/>
                <w:b/>
                <w:sz w:val="20"/>
                <w:szCs w:val="20"/>
              </w:rPr>
            </w:pPr>
          </w:p>
        </w:tc>
      </w:tr>
    </w:tbl>
    <w:p w:rsidR="006A297F" w:rsidRPr="002F56B8" w:rsidRDefault="006A297F" w:rsidP="002F56B8">
      <w:pPr>
        <w:spacing w:after="0" w:line="240" w:lineRule="auto"/>
        <w:contextualSpacing/>
        <w:rPr>
          <w:rFonts w:cstheme="minorHAnsi"/>
          <w:b/>
          <w:sz w:val="20"/>
          <w:szCs w:val="20"/>
        </w:rPr>
      </w:pPr>
    </w:p>
    <w:p w:rsidR="00C96A5C" w:rsidRPr="002F56B8" w:rsidRDefault="00C96A5C" w:rsidP="002F56B8">
      <w:pPr>
        <w:spacing w:after="0" w:line="240" w:lineRule="auto"/>
        <w:contextualSpacing/>
        <w:jc w:val="both"/>
        <w:rPr>
          <w:rFonts w:cstheme="minorHAnsi"/>
          <w:sz w:val="20"/>
          <w:szCs w:val="20"/>
        </w:rPr>
      </w:pPr>
      <w:r w:rsidRPr="002F56B8">
        <w:rPr>
          <w:rFonts w:cstheme="minorHAnsi"/>
          <w:sz w:val="20"/>
          <w:szCs w:val="20"/>
        </w:rPr>
        <w:t xml:space="preserve">*The actual payoff amount may be higher than the Total Estimated Payoff.  A full audit of the case is required before a final payoff amount can be calculated. If the Debtor is willing to pay the Total Estimated Payoff, please complete the remainder of this form and submit it to </w:t>
      </w:r>
      <w:hyperlink r:id="rId8" w:history="1">
        <w:proofErr w:type="spellStart"/>
        <w:r w:rsidR="008E11F7" w:rsidRPr="008E11F7">
          <w:rPr>
            <w:rStyle w:val="Hyperlink"/>
            <w:rFonts w:cstheme="minorHAnsi"/>
            <w:sz w:val="20"/>
            <w:szCs w:val="20"/>
            <w:shd w:val="clear" w:color="auto" w:fill="FFFFFF"/>
          </w:rPr>
          <w:t>basseldismissals</w:t>
        </w:r>
        <w:proofErr w:type="spellEnd"/>
        <w:r w:rsidR="008E11F7" w:rsidRPr="008E11F7">
          <w:rPr>
            <w:rStyle w:val="Hyperlink"/>
            <w:rFonts w:cstheme="minorHAnsi"/>
            <w:sz w:val="20"/>
            <w:szCs w:val="20"/>
            <w:shd w:val="clear" w:color="auto" w:fill="FFFFFF"/>
          </w:rPr>
          <w:t>-closings @ fwch13.com</w:t>
        </w:r>
      </w:hyperlink>
      <w:r w:rsidRPr="008E11F7">
        <w:rPr>
          <w:rFonts w:cstheme="minorHAnsi"/>
          <w:sz w:val="20"/>
          <w:szCs w:val="20"/>
        </w:rPr>
        <w:t>.</w:t>
      </w:r>
      <w:r w:rsidRPr="002F56B8">
        <w:rPr>
          <w:rFonts w:cstheme="minorHAnsi"/>
          <w:sz w:val="20"/>
          <w:szCs w:val="20"/>
        </w:rPr>
        <w:t xml:space="preserve"> </w:t>
      </w:r>
    </w:p>
    <w:p w:rsidR="008319BA" w:rsidRPr="002F56B8" w:rsidRDefault="008319BA" w:rsidP="002F56B8">
      <w:pPr>
        <w:spacing w:after="0" w:line="240" w:lineRule="auto"/>
        <w:contextualSpacing/>
        <w:jc w:val="both"/>
        <w:rPr>
          <w:rFonts w:cstheme="minorHAnsi"/>
          <w:sz w:val="20"/>
          <w:szCs w:val="20"/>
        </w:rPr>
      </w:pPr>
    </w:p>
    <w:p w:rsidR="008319BA" w:rsidRPr="000A664D" w:rsidRDefault="008319BA" w:rsidP="002F56B8">
      <w:pPr>
        <w:pStyle w:val="ListParagraph"/>
        <w:numPr>
          <w:ilvl w:val="0"/>
          <w:numId w:val="2"/>
        </w:numPr>
        <w:spacing w:after="0" w:line="240" w:lineRule="auto"/>
        <w:jc w:val="both"/>
        <w:rPr>
          <w:rFonts w:cstheme="minorHAnsi"/>
          <w:sz w:val="20"/>
          <w:szCs w:val="20"/>
        </w:rPr>
      </w:pPr>
      <w:r w:rsidRPr="002F56B8">
        <w:rPr>
          <w:rFonts w:cstheme="minorHAnsi"/>
          <w:sz w:val="20"/>
          <w:szCs w:val="20"/>
        </w:rPr>
        <w:t>What is the source of the funds Debtor intends to use to the pay off the case?</w:t>
      </w:r>
    </w:p>
    <w:p w:rsidR="008319BA" w:rsidRPr="002F56B8" w:rsidRDefault="008319BA" w:rsidP="002F56B8">
      <w:pPr>
        <w:spacing w:after="0" w:line="240" w:lineRule="auto"/>
        <w:contextualSpacing/>
        <w:jc w:val="both"/>
        <w:rPr>
          <w:rFonts w:cstheme="minorHAnsi"/>
          <w:sz w:val="20"/>
          <w:szCs w:val="20"/>
          <w:u w:val="single"/>
        </w:rPr>
      </w:pP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p>
    <w:p w:rsidR="008319BA" w:rsidRPr="002F56B8" w:rsidRDefault="008319BA" w:rsidP="002F56B8">
      <w:pPr>
        <w:spacing w:after="0" w:line="240" w:lineRule="auto"/>
        <w:contextualSpacing/>
        <w:jc w:val="both"/>
        <w:rPr>
          <w:rFonts w:cstheme="minorHAnsi"/>
          <w:sz w:val="20"/>
          <w:szCs w:val="20"/>
          <w:u w:val="single"/>
        </w:rPr>
      </w:pPr>
    </w:p>
    <w:p w:rsidR="002F56B8" w:rsidRPr="000A664D" w:rsidRDefault="002F56B8" w:rsidP="002F56B8">
      <w:pPr>
        <w:pStyle w:val="ListParagraph"/>
        <w:numPr>
          <w:ilvl w:val="0"/>
          <w:numId w:val="2"/>
        </w:numPr>
        <w:spacing w:after="0" w:line="240" w:lineRule="auto"/>
        <w:jc w:val="both"/>
        <w:rPr>
          <w:rFonts w:cstheme="minorHAnsi"/>
          <w:sz w:val="20"/>
          <w:szCs w:val="20"/>
          <w:u w:val="single"/>
        </w:rPr>
      </w:pPr>
      <w:r>
        <w:rPr>
          <w:rFonts w:cstheme="minorHAnsi"/>
          <w:sz w:val="20"/>
          <w:szCs w:val="20"/>
        </w:rPr>
        <w:t xml:space="preserve">When does the Debtor expect to be able to pay the Total Estimated Payoff? </w:t>
      </w:r>
    </w:p>
    <w:p w:rsidR="002F56B8" w:rsidRPr="002F56B8" w:rsidRDefault="002F56B8" w:rsidP="002F56B8">
      <w:pPr>
        <w:spacing w:after="0" w:line="240" w:lineRule="auto"/>
        <w:jc w:val="both"/>
        <w:rPr>
          <w:rFonts w:cstheme="minorHAnsi"/>
          <w:sz w:val="20"/>
          <w:szCs w:val="20"/>
          <w:u w:val="single"/>
        </w:rPr>
      </w:pPr>
      <w:r>
        <w:rPr>
          <w:rFonts w:cstheme="minorHAnsi"/>
          <w:sz w:val="20"/>
          <w:szCs w:val="20"/>
          <w:u w:val="single"/>
        </w:rPr>
        <w:t>_</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p>
    <w:p w:rsidR="008319BA" w:rsidRPr="002F56B8" w:rsidRDefault="008319BA" w:rsidP="002F56B8">
      <w:pPr>
        <w:spacing w:after="0" w:line="240" w:lineRule="auto"/>
        <w:contextualSpacing/>
        <w:jc w:val="both"/>
        <w:rPr>
          <w:rFonts w:cstheme="minorHAnsi"/>
          <w:sz w:val="20"/>
          <w:szCs w:val="20"/>
        </w:rPr>
      </w:pPr>
    </w:p>
    <w:p w:rsidR="008E11F7" w:rsidRDefault="008E11F7" w:rsidP="002F56B8">
      <w:pPr>
        <w:spacing w:after="0" w:line="240" w:lineRule="auto"/>
        <w:contextualSpacing/>
        <w:jc w:val="both"/>
        <w:rPr>
          <w:rFonts w:cstheme="minorHAnsi"/>
          <w:sz w:val="20"/>
          <w:szCs w:val="20"/>
        </w:rPr>
      </w:pPr>
    </w:p>
    <w:p w:rsidR="008319BA" w:rsidRPr="000A664D" w:rsidRDefault="008319BA" w:rsidP="002F56B8">
      <w:pPr>
        <w:spacing w:after="0" w:line="240" w:lineRule="auto"/>
        <w:contextualSpacing/>
        <w:jc w:val="both"/>
        <w:rPr>
          <w:rFonts w:cstheme="minorHAnsi"/>
          <w:sz w:val="20"/>
          <w:szCs w:val="20"/>
          <w:u w:val="single"/>
        </w:rPr>
      </w:pPr>
      <w:r w:rsidRPr="002F56B8">
        <w:rPr>
          <w:rFonts w:cstheme="minorHAnsi"/>
          <w:sz w:val="20"/>
          <w:szCs w:val="20"/>
        </w:rPr>
        <w:t>REQUEST SUBMITTED BY:</w:t>
      </w:r>
      <w:r w:rsidRPr="002F56B8">
        <w:rPr>
          <w:rFonts w:cstheme="minorHAnsi"/>
          <w:sz w:val="20"/>
          <w:szCs w:val="20"/>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Pr="002F56B8">
        <w:rPr>
          <w:rFonts w:cstheme="minorHAnsi"/>
          <w:sz w:val="20"/>
          <w:szCs w:val="20"/>
          <w:u w:val="single"/>
        </w:rPr>
        <w:tab/>
      </w:r>
      <w:r w:rsidR="000A664D">
        <w:rPr>
          <w:rFonts w:cstheme="minorHAnsi"/>
          <w:sz w:val="20"/>
          <w:szCs w:val="20"/>
          <w:u w:val="single"/>
        </w:rPr>
        <w:tab/>
      </w:r>
      <w:r w:rsidR="000A664D">
        <w:rPr>
          <w:rFonts w:cstheme="minorHAnsi"/>
          <w:sz w:val="20"/>
          <w:szCs w:val="20"/>
        </w:rPr>
        <w:t xml:space="preserve"> </w:t>
      </w:r>
      <w:r w:rsidR="000A664D">
        <w:rPr>
          <w:rFonts w:cstheme="minorHAnsi"/>
          <w:sz w:val="20"/>
          <w:szCs w:val="20"/>
        </w:rPr>
        <w:tab/>
      </w:r>
      <w:r w:rsidR="000A664D">
        <w:rPr>
          <w:rFonts w:cstheme="minorHAnsi"/>
          <w:sz w:val="20"/>
          <w:szCs w:val="20"/>
          <w:u w:val="single"/>
        </w:rPr>
        <w:tab/>
      </w:r>
      <w:r w:rsidR="000A664D">
        <w:rPr>
          <w:rFonts w:cstheme="minorHAnsi"/>
          <w:sz w:val="20"/>
          <w:szCs w:val="20"/>
          <w:u w:val="single"/>
        </w:rPr>
        <w:tab/>
      </w:r>
      <w:r w:rsidR="000A664D">
        <w:rPr>
          <w:rFonts w:cstheme="minorHAnsi"/>
          <w:sz w:val="20"/>
          <w:szCs w:val="20"/>
          <w:u w:val="single"/>
        </w:rPr>
        <w:tab/>
      </w:r>
      <w:r w:rsidR="000A664D">
        <w:rPr>
          <w:rFonts w:cstheme="minorHAnsi"/>
          <w:sz w:val="20"/>
          <w:szCs w:val="20"/>
          <w:u w:val="single"/>
        </w:rPr>
        <w:tab/>
      </w:r>
    </w:p>
    <w:p w:rsidR="000A664D" w:rsidRPr="002F56B8" w:rsidRDefault="008319BA" w:rsidP="002F56B8">
      <w:pPr>
        <w:spacing w:after="0" w:line="240" w:lineRule="auto"/>
        <w:contextualSpacing/>
        <w:jc w:val="both"/>
        <w:rPr>
          <w:rFonts w:cstheme="minorHAnsi"/>
          <w:sz w:val="20"/>
          <w:szCs w:val="20"/>
        </w:rPr>
      </w:pPr>
      <w:r w:rsidRPr="002F56B8">
        <w:rPr>
          <w:rFonts w:cstheme="minorHAnsi"/>
          <w:sz w:val="20"/>
          <w:szCs w:val="20"/>
        </w:rPr>
        <w:tab/>
      </w:r>
      <w:r w:rsidRPr="002F56B8">
        <w:rPr>
          <w:rFonts w:cstheme="minorHAnsi"/>
          <w:sz w:val="20"/>
          <w:szCs w:val="20"/>
        </w:rPr>
        <w:tab/>
      </w:r>
      <w:r w:rsidRPr="002F56B8">
        <w:rPr>
          <w:rFonts w:cstheme="minorHAnsi"/>
          <w:sz w:val="20"/>
          <w:szCs w:val="20"/>
        </w:rPr>
        <w:tab/>
        <w:t>Debtor/Attorney</w:t>
      </w:r>
      <w:r w:rsidR="000A664D">
        <w:rPr>
          <w:rFonts w:cstheme="minorHAnsi"/>
          <w:sz w:val="20"/>
          <w:szCs w:val="20"/>
        </w:rPr>
        <w:tab/>
      </w:r>
      <w:r w:rsidR="000A664D">
        <w:rPr>
          <w:rFonts w:cstheme="minorHAnsi"/>
          <w:sz w:val="20"/>
          <w:szCs w:val="20"/>
        </w:rPr>
        <w:tab/>
      </w:r>
      <w:r w:rsidR="000A664D">
        <w:rPr>
          <w:rFonts w:cstheme="minorHAnsi"/>
          <w:sz w:val="20"/>
          <w:szCs w:val="20"/>
        </w:rPr>
        <w:tab/>
      </w:r>
      <w:r w:rsidR="000A664D">
        <w:rPr>
          <w:rFonts w:cstheme="minorHAnsi"/>
          <w:sz w:val="20"/>
          <w:szCs w:val="20"/>
        </w:rPr>
        <w:tab/>
      </w:r>
      <w:r w:rsidR="000A664D">
        <w:rPr>
          <w:rFonts w:cstheme="minorHAnsi"/>
          <w:sz w:val="20"/>
          <w:szCs w:val="20"/>
        </w:rPr>
        <w:tab/>
      </w:r>
      <w:r w:rsidR="000A664D">
        <w:rPr>
          <w:rFonts w:cstheme="minorHAnsi"/>
          <w:sz w:val="20"/>
          <w:szCs w:val="20"/>
        </w:rPr>
        <w:tab/>
        <w:t>Date</w:t>
      </w:r>
    </w:p>
    <w:sectPr w:rsidR="000A664D" w:rsidRPr="002F56B8" w:rsidSect="00DD0CA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05" w:rsidRDefault="00AA1A05" w:rsidP="008319BA">
      <w:pPr>
        <w:spacing w:after="0" w:line="240" w:lineRule="auto"/>
      </w:pPr>
      <w:r>
        <w:separator/>
      </w:r>
    </w:p>
  </w:endnote>
  <w:endnote w:type="continuationSeparator" w:id="0">
    <w:p w:rsidR="00AA1A05" w:rsidRDefault="00AA1A05" w:rsidP="0083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1290139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8319BA" w:rsidRPr="008319BA" w:rsidRDefault="008319BA">
            <w:pPr>
              <w:pStyle w:val="Footer"/>
              <w:rPr>
                <w:bCs/>
                <w:sz w:val="16"/>
                <w:szCs w:val="16"/>
              </w:rPr>
            </w:pPr>
            <w:r w:rsidRPr="008319BA">
              <w:rPr>
                <w:sz w:val="16"/>
                <w:szCs w:val="16"/>
              </w:rPr>
              <w:t xml:space="preserve">Page </w:t>
            </w:r>
            <w:r w:rsidRPr="008319BA">
              <w:rPr>
                <w:bCs/>
                <w:sz w:val="16"/>
                <w:szCs w:val="16"/>
              </w:rPr>
              <w:fldChar w:fldCharType="begin"/>
            </w:r>
            <w:r w:rsidRPr="008319BA">
              <w:rPr>
                <w:bCs/>
                <w:sz w:val="16"/>
                <w:szCs w:val="16"/>
              </w:rPr>
              <w:instrText xml:space="preserve"> PAGE </w:instrText>
            </w:r>
            <w:r w:rsidRPr="008319BA">
              <w:rPr>
                <w:bCs/>
                <w:sz w:val="16"/>
                <w:szCs w:val="16"/>
              </w:rPr>
              <w:fldChar w:fldCharType="separate"/>
            </w:r>
            <w:r w:rsidR="00407D98">
              <w:rPr>
                <w:bCs/>
                <w:noProof/>
                <w:sz w:val="16"/>
                <w:szCs w:val="16"/>
              </w:rPr>
              <w:t>1</w:t>
            </w:r>
            <w:r w:rsidRPr="008319BA">
              <w:rPr>
                <w:bCs/>
                <w:sz w:val="16"/>
                <w:szCs w:val="16"/>
              </w:rPr>
              <w:fldChar w:fldCharType="end"/>
            </w:r>
            <w:r w:rsidRPr="008319BA">
              <w:rPr>
                <w:sz w:val="16"/>
                <w:szCs w:val="16"/>
              </w:rPr>
              <w:t xml:space="preserve"> of </w:t>
            </w:r>
            <w:r w:rsidRPr="008319BA">
              <w:rPr>
                <w:bCs/>
                <w:sz w:val="16"/>
                <w:szCs w:val="16"/>
              </w:rPr>
              <w:fldChar w:fldCharType="begin"/>
            </w:r>
            <w:r w:rsidRPr="008319BA">
              <w:rPr>
                <w:bCs/>
                <w:sz w:val="16"/>
                <w:szCs w:val="16"/>
              </w:rPr>
              <w:instrText xml:space="preserve"> NUMPAGES  </w:instrText>
            </w:r>
            <w:r w:rsidRPr="008319BA">
              <w:rPr>
                <w:bCs/>
                <w:sz w:val="16"/>
                <w:szCs w:val="16"/>
              </w:rPr>
              <w:fldChar w:fldCharType="separate"/>
            </w:r>
            <w:r w:rsidR="00407D98">
              <w:rPr>
                <w:bCs/>
                <w:noProof/>
                <w:sz w:val="16"/>
                <w:szCs w:val="16"/>
              </w:rPr>
              <w:t>1</w:t>
            </w:r>
            <w:r w:rsidRPr="008319BA">
              <w:rPr>
                <w:bCs/>
                <w:sz w:val="16"/>
                <w:szCs w:val="16"/>
              </w:rPr>
              <w:fldChar w:fldCharType="end"/>
            </w:r>
          </w:p>
        </w:sdtContent>
      </w:sdt>
    </w:sdtContent>
  </w:sdt>
  <w:p w:rsidR="008319BA" w:rsidRPr="008319BA" w:rsidRDefault="008319BA">
    <w:pPr>
      <w:pStyle w:val="Footer"/>
      <w:rPr>
        <w:sz w:val="16"/>
        <w:szCs w:val="16"/>
      </w:rPr>
    </w:pPr>
    <w:r w:rsidRPr="008319BA">
      <w:rPr>
        <w:sz w:val="16"/>
        <w:szCs w:val="16"/>
      </w:rPr>
      <w:t>PAYOFF REQUEST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05" w:rsidRDefault="00AA1A05" w:rsidP="008319BA">
      <w:pPr>
        <w:spacing w:after="0" w:line="240" w:lineRule="auto"/>
      </w:pPr>
      <w:r>
        <w:separator/>
      </w:r>
    </w:p>
  </w:footnote>
  <w:footnote w:type="continuationSeparator" w:id="0">
    <w:p w:rsidR="00AA1A05" w:rsidRDefault="00AA1A05" w:rsidP="00831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0EAB"/>
    <w:multiLevelType w:val="hybridMultilevel"/>
    <w:tmpl w:val="80B8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552E6"/>
    <w:multiLevelType w:val="hybridMultilevel"/>
    <w:tmpl w:val="E1C0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A7"/>
    <w:rsid w:val="000A664D"/>
    <w:rsid w:val="001D64E4"/>
    <w:rsid w:val="001E2935"/>
    <w:rsid w:val="002F56B8"/>
    <w:rsid w:val="00407D98"/>
    <w:rsid w:val="004B7A43"/>
    <w:rsid w:val="005A40B7"/>
    <w:rsid w:val="006A297F"/>
    <w:rsid w:val="008319BA"/>
    <w:rsid w:val="008E11F7"/>
    <w:rsid w:val="00A7080D"/>
    <w:rsid w:val="00AA1A05"/>
    <w:rsid w:val="00C96A5C"/>
    <w:rsid w:val="00DD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B20E6-64F0-4FBB-8660-9C52162D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0CA7"/>
    <w:pPr>
      <w:ind w:left="720"/>
      <w:contextualSpacing/>
    </w:pPr>
  </w:style>
  <w:style w:type="character" w:styleId="Hyperlink">
    <w:name w:val="Hyperlink"/>
    <w:basedOn w:val="DefaultParagraphFont"/>
    <w:uiPriority w:val="99"/>
    <w:unhideWhenUsed/>
    <w:rsid w:val="004B7A43"/>
    <w:rPr>
      <w:color w:val="0563C1" w:themeColor="hyperlink"/>
      <w:u w:val="single"/>
    </w:rPr>
  </w:style>
  <w:style w:type="paragraph" w:styleId="Header">
    <w:name w:val="header"/>
    <w:basedOn w:val="Normal"/>
    <w:link w:val="HeaderChar"/>
    <w:uiPriority w:val="99"/>
    <w:unhideWhenUsed/>
    <w:rsid w:val="0083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9BA"/>
  </w:style>
  <w:style w:type="paragraph" w:styleId="Footer">
    <w:name w:val="footer"/>
    <w:basedOn w:val="Normal"/>
    <w:link w:val="FooterChar"/>
    <w:uiPriority w:val="99"/>
    <w:unhideWhenUsed/>
    <w:rsid w:val="0083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9BA"/>
  </w:style>
  <w:style w:type="paragraph" w:styleId="BalloonText">
    <w:name w:val="Balloon Text"/>
    <w:basedOn w:val="Normal"/>
    <w:link w:val="BalloonTextChar"/>
    <w:uiPriority w:val="99"/>
    <w:semiHidden/>
    <w:unhideWhenUsed/>
    <w:rsid w:val="006A2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seldismissals-closings@fwch13.com" TargetMode="External"/><Relationship Id="rId3" Type="http://schemas.openxmlformats.org/officeDocument/2006/relationships/settings" Target="settings.xml"/><Relationship Id="rId7" Type="http://schemas.openxmlformats.org/officeDocument/2006/relationships/hyperlink" Target="http://www.13network.com/trustees/fww/fwwhom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Cartwright</dc:creator>
  <cp:keywords/>
  <dc:description/>
  <cp:lastModifiedBy>Ethan Cartwright</cp:lastModifiedBy>
  <cp:revision>5</cp:revision>
  <cp:lastPrinted>2018-08-30T20:44:00Z</cp:lastPrinted>
  <dcterms:created xsi:type="dcterms:W3CDTF">2018-08-30T20:05:00Z</dcterms:created>
  <dcterms:modified xsi:type="dcterms:W3CDTF">2018-09-14T15:30:00Z</dcterms:modified>
</cp:coreProperties>
</file>